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660FED">
      <w:pPr>
        <w:spacing w:line="600" w:lineRule="exact"/>
        <w:jc w:val="center"/>
        <w:outlineLvl w:val="0"/>
        <w:rPr>
          <w:rFonts w:ascii="方正小标宋_GBK" w:hAnsi="黑体" w:eastAsia="方正小标宋_GBK"/>
          <w:sz w:val="44"/>
          <w:szCs w:val="44"/>
        </w:rPr>
      </w:pPr>
      <w:r>
        <w:rPr>
          <w:rFonts w:hint="eastAsia" w:ascii="方正小标宋_GBK" w:hAnsi="黑体" w:eastAsia="方正小标宋_GBK"/>
          <w:sz w:val="44"/>
          <w:szCs w:val="44"/>
        </w:rPr>
        <w:t>宁夏回族自治区</w:t>
      </w:r>
      <w:r>
        <w:rPr>
          <w:rFonts w:hint="eastAsia" w:ascii="方正小标宋_GBK" w:hAnsi="黑体" w:eastAsia="方正小标宋_GBK"/>
          <w:sz w:val="44"/>
          <w:szCs w:val="44"/>
          <w:u w:val="single"/>
        </w:rPr>
        <w:t>宁夏</w:t>
      </w:r>
      <w:r>
        <w:rPr>
          <w:rFonts w:hint="eastAsia" w:ascii="方正小标宋_GBK" w:hAnsi="黑体" w:eastAsia="方正小标宋_GBK"/>
          <w:sz w:val="44"/>
          <w:szCs w:val="44"/>
          <w:u w:val="single"/>
          <w:lang w:val="en-US" w:eastAsia="zh-CN"/>
        </w:rPr>
        <w:t>玉米滴灌种植技术规程</w:t>
      </w:r>
      <w:r>
        <w:rPr>
          <w:rFonts w:hint="eastAsia" w:ascii="方正小标宋_GBK" w:hAnsi="黑体" w:eastAsia="方正小标宋_GBK"/>
          <w:sz w:val="44"/>
          <w:szCs w:val="44"/>
        </w:rPr>
        <w:t>地方标准征求意见</w:t>
      </w:r>
    </w:p>
    <w:p w14:paraId="737C5A5B">
      <w:pPr>
        <w:spacing w:line="600" w:lineRule="exact"/>
        <w:jc w:val="center"/>
        <w:outlineLvl w:val="0"/>
        <w:rPr>
          <w:rFonts w:hint="eastAsia" w:ascii="方正小标宋_GBK" w:hAnsi="黑体" w:eastAsia="方正小标宋_GBK"/>
          <w:sz w:val="44"/>
          <w:szCs w:val="44"/>
        </w:rPr>
      </w:pPr>
      <w:r>
        <w:rPr>
          <w:rFonts w:hint="eastAsia" w:ascii="方正小标宋_GBK" w:hAnsi="黑体" w:eastAsia="方正小标宋_GBK"/>
          <w:sz w:val="44"/>
          <w:szCs w:val="44"/>
        </w:rPr>
        <w:t>汇总处理表</w:t>
      </w:r>
    </w:p>
    <w:p w14:paraId="1ED6414C">
      <w:pPr>
        <w:spacing w:line="600" w:lineRule="exact"/>
        <w:jc w:val="center"/>
        <w:outlineLvl w:val="0"/>
        <w:rPr>
          <w:rFonts w:hint="default" w:ascii="Times New Roman" w:hAnsi="Times New Roman" w:eastAsia="方正小标宋_GBK" w:cs="Times New Roman"/>
          <w:sz w:val="28"/>
          <w:szCs w:val="44"/>
        </w:rPr>
      </w:pPr>
      <w:r>
        <w:rPr>
          <w:rFonts w:hint="default" w:ascii="Times New Roman" w:hAnsi="Times New Roman" w:eastAsia="方正小标宋_GBK" w:cs="Times New Roman"/>
          <w:sz w:val="28"/>
          <w:szCs w:val="44"/>
        </w:rPr>
        <w:t>备注：意见收集</w:t>
      </w:r>
      <w:r>
        <w:rPr>
          <w:rFonts w:hint="default" w:ascii="Times New Roman" w:hAnsi="Times New Roman" w:eastAsia="方正小标宋_GBK" w:cs="Times New Roman"/>
          <w:sz w:val="28"/>
          <w:szCs w:val="44"/>
          <w:lang w:val="en-US" w:eastAsia="zh-CN"/>
        </w:rPr>
        <w:t>29</w:t>
      </w:r>
      <w:r>
        <w:rPr>
          <w:rFonts w:hint="default" w:ascii="Times New Roman" w:hAnsi="Times New Roman" w:eastAsia="方正小标宋_GBK" w:cs="Times New Roman"/>
          <w:sz w:val="28"/>
          <w:szCs w:val="44"/>
        </w:rPr>
        <w:t>条，其中采纳</w:t>
      </w:r>
      <w:r>
        <w:rPr>
          <w:rFonts w:hint="eastAsia" w:ascii="Times New Roman" w:hAnsi="Times New Roman" w:eastAsia="方正小标宋_GBK" w:cs="Times New Roman"/>
          <w:sz w:val="28"/>
          <w:szCs w:val="44"/>
          <w:lang w:val="en-US" w:eastAsia="zh-CN"/>
        </w:rPr>
        <w:t>21</w:t>
      </w:r>
      <w:r>
        <w:rPr>
          <w:rFonts w:hint="default" w:ascii="Times New Roman" w:hAnsi="Times New Roman" w:eastAsia="方正小标宋_GBK" w:cs="Times New Roman"/>
          <w:sz w:val="28"/>
          <w:szCs w:val="44"/>
        </w:rPr>
        <w:t>条，</w:t>
      </w:r>
      <w:r>
        <w:rPr>
          <w:rFonts w:hint="default" w:ascii="Times New Roman" w:hAnsi="Times New Roman" w:eastAsia="方正小标宋_GBK" w:cs="Times New Roman"/>
          <w:sz w:val="28"/>
          <w:szCs w:val="44"/>
          <w:lang w:val="en-US" w:eastAsia="zh-CN"/>
        </w:rPr>
        <w:t>部分采纳1条，</w:t>
      </w:r>
      <w:r>
        <w:rPr>
          <w:rFonts w:hint="default" w:ascii="Times New Roman" w:hAnsi="Times New Roman" w:eastAsia="方正小标宋_GBK" w:cs="Times New Roman"/>
          <w:sz w:val="28"/>
          <w:szCs w:val="44"/>
        </w:rPr>
        <w:t>不采纳</w:t>
      </w:r>
      <w:r>
        <w:rPr>
          <w:rFonts w:hint="default" w:ascii="Times New Roman" w:hAnsi="Times New Roman" w:eastAsia="方正小标宋_GBK" w:cs="Times New Roman"/>
          <w:sz w:val="28"/>
          <w:szCs w:val="44"/>
          <w:lang w:val="en-US" w:eastAsia="zh-CN"/>
        </w:rPr>
        <w:t>7</w:t>
      </w:r>
      <w:r>
        <w:rPr>
          <w:rFonts w:hint="default" w:ascii="Times New Roman" w:hAnsi="Times New Roman" w:eastAsia="方正小标宋_GBK" w:cs="Times New Roman"/>
          <w:sz w:val="28"/>
          <w:szCs w:val="44"/>
        </w:rPr>
        <w:t>条。</w:t>
      </w:r>
    </w:p>
    <w:p w14:paraId="6DD6371B">
      <w:pPr>
        <w:spacing w:line="600" w:lineRule="exact"/>
        <w:jc w:val="center"/>
        <w:outlineLvl w:val="0"/>
        <w:rPr>
          <w:rFonts w:hint="default" w:ascii="方正小标宋_GBK" w:hAnsi="黑体" w:eastAsia="方正小标宋_GBK"/>
          <w:sz w:val="28"/>
          <w:szCs w:val="44"/>
          <w:lang w:val="en-US" w:eastAsia="zh-CN"/>
        </w:rPr>
      </w:pPr>
      <w:r>
        <w:rPr>
          <w:rFonts w:hint="eastAsia" w:ascii="方正小标宋_GBK" w:hAnsi="黑体" w:eastAsia="方正小标宋_GBK"/>
          <w:sz w:val="28"/>
          <w:szCs w:val="44"/>
          <w:lang w:val="en-US" w:eastAsia="zh-CN"/>
        </w:rPr>
        <w:t xml:space="preserve">                                                                              日期：2026年1月15日</w:t>
      </w: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3451"/>
        <w:gridCol w:w="4931"/>
        <w:gridCol w:w="1988"/>
        <w:gridCol w:w="3521"/>
      </w:tblGrid>
      <w:tr w14:paraId="1AFC90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</w:trPr>
        <w:tc>
          <w:tcPr>
            <w:tcW w:w="534" w:type="dxa"/>
            <w:vAlign w:val="center"/>
          </w:tcPr>
          <w:p w14:paraId="6D04882C"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3451" w:type="dxa"/>
            <w:vAlign w:val="center"/>
          </w:tcPr>
          <w:p w14:paraId="30E3D907"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4"/>
                <w:szCs w:val="24"/>
              </w:rPr>
              <w:t>意见章条及原标准内容</w:t>
            </w:r>
          </w:p>
        </w:tc>
        <w:tc>
          <w:tcPr>
            <w:tcW w:w="4931" w:type="dxa"/>
            <w:vAlign w:val="center"/>
          </w:tcPr>
          <w:p w14:paraId="68C77CA8"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4"/>
                <w:szCs w:val="24"/>
              </w:rPr>
              <w:t>修改意见及依据</w:t>
            </w:r>
          </w:p>
        </w:tc>
        <w:tc>
          <w:tcPr>
            <w:tcW w:w="1988" w:type="dxa"/>
            <w:vAlign w:val="center"/>
          </w:tcPr>
          <w:p w14:paraId="46409681"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4"/>
                <w:szCs w:val="24"/>
              </w:rPr>
              <w:t>提出单位</w:t>
            </w:r>
          </w:p>
        </w:tc>
        <w:tc>
          <w:tcPr>
            <w:tcW w:w="3521" w:type="dxa"/>
            <w:vAlign w:val="center"/>
          </w:tcPr>
          <w:p w14:paraId="1D7B4EFD"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4"/>
                <w:szCs w:val="24"/>
              </w:rPr>
              <w:t>意见处理</w:t>
            </w:r>
          </w:p>
        </w:tc>
      </w:tr>
      <w:tr w14:paraId="7704A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34" w:type="dxa"/>
            <w:vAlign w:val="center"/>
          </w:tcPr>
          <w:p w14:paraId="4D200B97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3451" w:type="dxa"/>
            <w:vAlign w:val="center"/>
          </w:tcPr>
          <w:p w14:paraId="08470C6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 xml:space="preserve"> 4.1 土壤条件、4.2 水源与水质条件</w:t>
            </w:r>
          </w:p>
        </w:tc>
        <w:tc>
          <w:tcPr>
            <w:tcW w:w="4931" w:type="dxa"/>
            <w:vAlign w:val="center"/>
          </w:tcPr>
          <w:p w14:paraId="528A2CF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结合宁夏实际修改 pH 值要求</w:t>
            </w:r>
          </w:p>
        </w:tc>
        <w:tc>
          <w:tcPr>
            <w:tcW w:w="1988" w:type="dxa"/>
            <w:vMerge w:val="restart"/>
            <w:vAlign w:val="center"/>
          </w:tcPr>
          <w:p w14:paraId="76A6C0E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农业农村厅农业开发整治中心 张新华</w:t>
            </w:r>
          </w:p>
        </w:tc>
        <w:tc>
          <w:tcPr>
            <w:tcW w:w="3521" w:type="dxa"/>
            <w:vAlign w:val="center"/>
          </w:tcPr>
          <w:p w14:paraId="288029D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  <w:t>采纳。</w:t>
            </w: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按宁夏土壤及水源实际情况优化 pH 值表述。</w:t>
            </w:r>
          </w:p>
        </w:tc>
      </w:tr>
      <w:tr w14:paraId="46422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534" w:type="dxa"/>
            <w:vAlign w:val="center"/>
          </w:tcPr>
          <w:p w14:paraId="7AC5A0EA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</w:rPr>
              <w:t>2</w:t>
            </w:r>
          </w:p>
        </w:tc>
        <w:tc>
          <w:tcPr>
            <w:tcW w:w="3451" w:type="dxa"/>
            <w:vAlign w:val="center"/>
          </w:tcPr>
          <w:p w14:paraId="798AAF6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6.2.2 滴灌带选择及技术参数</w:t>
            </w:r>
          </w:p>
        </w:tc>
        <w:tc>
          <w:tcPr>
            <w:tcW w:w="4931" w:type="dxa"/>
            <w:vAlign w:val="center"/>
          </w:tcPr>
          <w:p w14:paraId="48B4643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滴灌带流量调整为 0.7L/h~2.0L/h，间距 20cm~30cm，长度 60m~120m，适当增大选择宽泛度。</w:t>
            </w:r>
          </w:p>
        </w:tc>
        <w:tc>
          <w:tcPr>
            <w:tcW w:w="1988" w:type="dxa"/>
            <w:vMerge w:val="continue"/>
            <w:tcBorders/>
            <w:vAlign w:val="center"/>
          </w:tcPr>
          <w:p w14:paraId="251EDE8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521" w:type="dxa"/>
            <w:vAlign w:val="center"/>
          </w:tcPr>
          <w:p w14:paraId="2DC9457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  <w:t>部分采纳。</w:t>
            </w: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流量调整为 0.75L/h~2.0L/h（与试验验证数据一致），间距、长度按建议保留 20cm~30cm、60m~120m。</w:t>
            </w:r>
          </w:p>
        </w:tc>
      </w:tr>
      <w:tr w14:paraId="28C6E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8" w:hRule="atLeast"/>
        </w:trPr>
        <w:tc>
          <w:tcPr>
            <w:tcW w:w="534" w:type="dxa"/>
            <w:vAlign w:val="center"/>
          </w:tcPr>
          <w:p w14:paraId="3722B634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</w:rPr>
              <w:t>3</w:t>
            </w:r>
          </w:p>
        </w:tc>
        <w:tc>
          <w:tcPr>
            <w:tcW w:w="3451" w:type="dxa"/>
            <w:vAlign w:val="center"/>
          </w:tcPr>
          <w:p w14:paraId="3B1FD919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7.4 施肥设备选型</w:t>
            </w:r>
          </w:p>
        </w:tc>
        <w:tc>
          <w:tcPr>
            <w:tcW w:w="4931" w:type="dxa"/>
            <w:vAlign w:val="center"/>
          </w:tcPr>
          <w:p w14:paraId="6DD37EE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施肥方式优先采用首部注肥泵集中施肥。</w:t>
            </w:r>
          </w:p>
        </w:tc>
        <w:tc>
          <w:tcPr>
            <w:tcW w:w="1988" w:type="dxa"/>
            <w:vMerge w:val="continue"/>
            <w:tcBorders/>
            <w:vAlign w:val="center"/>
          </w:tcPr>
          <w:p w14:paraId="25F3B29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521" w:type="dxa"/>
            <w:vAlign w:val="center"/>
          </w:tcPr>
          <w:p w14:paraId="6B18BEA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  <w:t>采纳。</w:t>
            </w: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在施肥设备选型中明确 “优先推荐首部注肥泵集中施肥方式”。</w:t>
            </w:r>
          </w:p>
        </w:tc>
      </w:tr>
      <w:tr w14:paraId="5634A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534" w:type="dxa"/>
            <w:vAlign w:val="center"/>
          </w:tcPr>
          <w:p w14:paraId="2FF6742F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</w:rPr>
              <w:t>4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762349E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6.2.2.2 滴灌带技术参数</w:t>
            </w:r>
          </w:p>
        </w:tc>
        <w:tc>
          <w:tcPr>
            <w:tcW w:w="4931" w:type="dxa"/>
            <w:shd w:val="clear" w:color="auto" w:fill="auto"/>
            <w:vAlign w:val="center"/>
          </w:tcPr>
          <w:p w14:paraId="3B233A6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“滴头流量” 改为 “滴孔流量”。</w:t>
            </w:r>
          </w:p>
        </w:tc>
        <w:tc>
          <w:tcPr>
            <w:tcW w:w="1988" w:type="dxa"/>
            <w:vMerge w:val="continue"/>
            <w:tcBorders/>
            <w:vAlign w:val="center"/>
          </w:tcPr>
          <w:p w14:paraId="0E66803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521" w:type="dxa"/>
            <w:vAlign w:val="center"/>
          </w:tcPr>
          <w:p w14:paraId="173F769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  <w:t>不采纳。</w:t>
            </w: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“滴头流量” 保留（符合行业通用术语）</w:t>
            </w:r>
          </w:p>
        </w:tc>
      </w:tr>
      <w:tr w14:paraId="71B88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34" w:type="dxa"/>
            <w:vAlign w:val="center"/>
          </w:tcPr>
          <w:p w14:paraId="51901CD9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</w:rPr>
              <w:t>5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147A04AE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编制说明</w:t>
            </w:r>
          </w:p>
        </w:tc>
        <w:tc>
          <w:tcPr>
            <w:tcW w:w="4931" w:type="dxa"/>
            <w:shd w:val="clear" w:color="auto" w:fill="auto"/>
            <w:vAlign w:val="center"/>
          </w:tcPr>
          <w:p w14:paraId="79C0755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补充浅埋滴灌技术的试验论证表述，包括试验过程、地点、周期、设计、结果及与常规滴灌的对比分析。</w:t>
            </w:r>
          </w:p>
        </w:tc>
        <w:tc>
          <w:tcPr>
            <w:tcW w:w="1988" w:type="dxa"/>
            <w:vMerge w:val="continue"/>
            <w:tcBorders/>
            <w:vAlign w:val="center"/>
          </w:tcPr>
          <w:p w14:paraId="0F14002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521" w:type="dxa"/>
            <w:vAlign w:val="center"/>
          </w:tcPr>
          <w:p w14:paraId="50AF5CC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  <w:t>采纳。</w:t>
            </w: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在编制说明 “主要条款的说明及主要技术参数的试验验证和论述” 中补充相关试验数据及对比分析。</w:t>
            </w:r>
          </w:p>
        </w:tc>
      </w:tr>
      <w:tr w14:paraId="24E24E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34" w:type="dxa"/>
            <w:vAlign w:val="center"/>
          </w:tcPr>
          <w:p w14:paraId="424285EB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</w:rPr>
              <w:t>6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0C3E901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1 范围</w:t>
            </w:r>
          </w:p>
        </w:tc>
        <w:tc>
          <w:tcPr>
            <w:tcW w:w="4931" w:type="dxa"/>
            <w:shd w:val="clear" w:color="auto" w:fill="auto"/>
            <w:vAlign w:val="center"/>
          </w:tcPr>
          <w:p w14:paraId="240312E9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确保范围与后续技术内容一一对应。</w:t>
            </w:r>
          </w:p>
        </w:tc>
        <w:tc>
          <w:tcPr>
            <w:tcW w:w="1988" w:type="dxa"/>
            <w:vMerge w:val="continue"/>
            <w:tcBorders/>
            <w:vAlign w:val="center"/>
          </w:tcPr>
          <w:p w14:paraId="56BB370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521" w:type="dxa"/>
            <w:vAlign w:val="center"/>
          </w:tcPr>
          <w:p w14:paraId="5092118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  <w:t>采纳。</w:t>
            </w: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核对范围与各章节适用场景，删除不匹配内容。</w:t>
            </w:r>
          </w:p>
        </w:tc>
      </w:tr>
      <w:tr w14:paraId="5F455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34" w:type="dxa"/>
            <w:vAlign w:val="center"/>
          </w:tcPr>
          <w:p w14:paraId="1F20B0E0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</w:rPr>
              <w:t>7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6AADE41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4.1 土壤条件</w:t>
            </w:r>
          </w:p>
        </w:tc>
        <w:tc>
          <w:tcPr>
            <w:tcW w:w="4931" w:type="dxa"/>
            <w:shd w:val="clear" w:color="auto" w:fill="auto"/>
            <w:vAlign w:val="center"/>
          </w:tcPr>
          <w:p w14:paraId="6A0C512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去掉部分冗余表述，调整含盐量、pH 值相关要求。</w:t>
            </w:r>
          </w:p>
        </w:tc>
        <w:tc>
          <w:tcPr>
            <w:tcW w:w="1988" w:type="dxa"/>
            <w:vMerge w:val="continue"/>
            <w:tcBorders/>
            <w:vAlign w:val="center"/>
          </w:tcPr>
          <w:p w14:paraId="610A662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521" w:type="dxa"/>
            <w:vAlign w:val="center"/>
          </w:tcPr>
          <w:p w14:paraId="3FA3DBA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  <w:t>采纳。</w:t>
            </w: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删除 “土壤全盐含量≤2g/kg”，优化 pH 值表述。</w:t>
            </w:r>
          </w:p>
        </w:tc>
      </w:tr>
      <w:tr w14:paraId="0E292D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34" w:type="dxa"/>
            <w:vAlign w:val="center"/>
          </w:tcPr>
          <w:p w14:paraId="488EB17F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</w:rPr>
              <w:t>8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2736C7B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5.2.2.1 机械要求</w:t>
            </w:r>
          </w:p>
        </w:tc>
        <w:tc>
          <w:tcPr>
            <w:tcW w:w="4931" w:type="dxa"/>
            <w:shd w:val="clear" w:color="auto" w:fill="auto"/>
            <w:vAlign w:val="center"/>
          </w:tcPr>
          <w:p w14:paraId="740D641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去掉 “与拖拉机配套使用” 及 “玉米机械化播种除符合 DB64/T 657-2010 的有关规定，还满足播种机械行走速度 3km/h～6km/h 或按照播种机技术要求确定”；去掉第二段中 “符合 GB/T50485-2020、GB/T 20203-2017 要求”，改为 “完成浅埋滴灌玉米播种”。</w:t>
            </w:r>
          </w:p>
        </w:tc>
        <w:tc>
          <w:tcPr>
            <w:tcW w:w="1988" w:type="dxa"/>
            <w:vMerge w:val="continue"/>
            <w:tcBorders/>
            <w:vAlign w:val="center"/>
          </w:tcPr>
          <w:p w14:paraId="7EA3BB7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521" w:type="dxa"/>
            <w:vAlign w:val="center"/>
          </w:tcPr>
          <w:p w14:paraId="20B52F39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  <w:t>采纳。</w:t>
            </w: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按建议精简机械要求表述。</w:t>
            </w:r>
          </w:p>
        </w:tc>
      </w:tr>
      <w:tr w14:paraId="405EDA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34" w:type="dxa"/>
            <w:vAlign w:val="center"/>
          </w:tcPr>
          <w:p w14:paraId="54654FB6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</w:rPr>
              <w:t>9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7067767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5.2.3.1 种植密度</w:t>
            </w:r>
          </w:p>
        </w:tc>
        <w:tc>
          <w:tcPr>
            <w:tcW w:w="4931" w:type="dxa"/>
            <w:shd w:val="clear" w:color="auto" w:fill="auto"/>
            <w:vAlign w:val="center"/>
          </w:tcPr>
          <w:p w14:paraId="11ACCAC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“采用单种、宽窄行种植” 改为 “采用宽窄行种植”，分引黄灌区和扬黄灌区明确行距、株距、密度。</w:t>
            </w:r>
          </w:p>
        </w:tc>
        <w:tc>
          <w:tcPr>
            <w:tcW w:w="1988" w:type="dxa"/>
            <w:vMerge w:val="continue"/>
            <w:tcBorders/>
            <w:vAlign w:val="center"/>
          </w:tcPr>
          <w:p w14:paraId="156B7D5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521" w:type="dxa"/>
            <w:vAlign w:val="center"/>
          </w:tcPr>
          <w:p w14:paraId="25076F4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  <w:t>采纳。</w:t>
            </w: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按建议修改种植方式表述，分层明确密度参数。</w:t>
            </w:r>
          </w:p>
        </w:tc>
      </w:tr>
      <w:tr w14:paraId="41811D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534" w:type="dxa"/>
            <w:vAlign w:val="center"/>
          </w:tcPr>
          <w:p w14:paraId="60EFD8A8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</w:rPr>
              <w:t>10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57B0F53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6.1.3 过滤设备</w:t>
            </w:r>
          </w:p>
        </w:tc>
        <w:tc>
          <w:tcPr>
            <w:tcW w:w="4931" w:type="dxa"/>
            <w:shd w:val="clear" w:color="auto" w:fill="auto"/>
            <w:vAlign w:val="center"/>
          </w:tcPr>
          <w:p w14:paraId="6D207D0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删掉 “6.1.3.3 水库水过滤设备组合”，因其与前文水源描述不照应。</w:t>
            </w:r>
          </w:p>
        </w:tc>
        <w:tc>
          <w:tcPr>
            <w:tcW w:w="1988" w:type="dxa"/>
            <w:vMerge w:val="continue"/>
            <w:tcBorders/>
            <w:vAlign w:val="center"/>
          </w:tcPr>
          <w:p w14:paraId="7B56CD8E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521" w:type="dxa"/>
            <w:vAlign w:val="center"/>
          </w:tcPr>
          <w:p w14:paraId="6101996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  <w:t>采纳。</w:t>
            </w: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已在标准修订中删除水库水相关处理模式及过滤设备组合。</w:t>
            </w:r>
          </w:p>
        </w:tc>
      </w:tr>
      <w:tr w14:paraId="30278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34" w:type="dxa"/>
            <w:shd w:val="clear" w:color="auto" w:fill="auto"/>
            <w:vAlign w:val="center"/>
          </w:tcPr>
          <w:p w14:paraId="3E7BC1E7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</w:rPr>
              <w:t>1</w:t>
            </w: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4B3D72B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7.1 灌溉和施肥</w:t>
            </w:r>
          </w:p>
        </w:tc>
        <w:tc>
          <w:tcPr>
            <w:tcW w:w="4931" w:type="dxa"/>
            <w:shd w:val="clear" w:color="auto" w:fill="auto"/>
            <w:vAlign w:val="center"/>
          </w:tcPr>
          <w:p w14:paraId="718E844E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 xml:space="preserve"> 去掉 “7.1.1 和 7.1.2”，灌水原则和施肥原则表述冗余。</w:t>
            </w:r>
          </w:p>
        </w:tc>
        <w:tc>
          <w:tcPr>
            <w:tcW w:w="1988" w:type="dxa"/>
            <w:vMerge w:val="continue"/>
            <w:tcBorders/>
            <w:vAlign w:val="center"/>
          </w:tcPr>
          <w:p w14:paraId="4B1D897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521" w:type="dxa"/>
            <w:shd w:val="clear" w:color="auto" w:fill="auto"/>
            <w:vAlign w:val="center"/>
          </w:tcPr>
          <w:p w14:paraId="1109C88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  <w:t>不采纳。</w:t>
            </w: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对灌水原则和施肥原则表述进行精练。</w:t>
            </w:r>
          </w:p>
        </w:tc>
      </w:tr>
      <w:tr w14:paraId="7AA8E7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34" w:type="dxa"/>
            <w:shd w:val="clear" w:color="auto" w:fill="auto"/>
            <w:vAlign w:val="center"/>
          </w:tcPr>
          <w:p w14:paraId="47627C6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4B7BF2C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1 范围</w:t>
            </w:r>
          </w:p>
        </w:tc>
        <w:tc>
          <w:tcPr>
            <w:tcW w:w="4931" w:type="dxa"/>
            <w:shd w:val="clear" w:color="auto" w:fill="auto"/>
            <w:vAlign w:val="center"/>
          </w:tcPr>
          <w:p w14:paraId="0F15642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去掉 “膜下滴灌玉米”。</w:t>
            </w:r>
          </w:p>
        </w:tc>
        <w:tc>
          <w:tcPr>
            <w:tcW w:w="1988" w:type="dxa"/>
            <w:vMerge w:val="restart"/>
            <w:vAlign w:val="center"/>
          </w:tcPr>
          <w:p w14:paraId="6054C8B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 xml:space="preserve">宁夏农业勘查设计院 马金虎 </w:t>
            </w:r>
          </w:p>
        </w:tc>
        <w:tc>
          <w:tcPr>
            <w:tcW w:w="3521" w:type="dxa"/>
            <w:shd w:val="clear" w:color="auto" w:fill="auto"/>
            <w:vAlign w:val="center"/>
          </w:tcPr>
          <w:p w14:paraId="0908D1F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  <w:t>采纳。</w:t>
            </w: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已在标准修订中调整适用范围，删除膜下滴灌玉米相关内容。</w:t>
            </w:r>
          </w:p>
        </w:tc>
      </w:tr>
      <w:tr w14:paraId="5F8E5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534" w:type="dxa"/>
            <w:shd w:val="clear" w:color="auto" w:fill="auto"/>
            <w:vAlign w:val="center"/>
          </w:tcPr>
          <w:p w14:paraId="0C7AD565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192F604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2 规范性引用文件</w:t>
            </w:r>
          </w:p>
        </w:tc>
        <w:tc>
          <w:tcPr>
            <w:tcW w:w="4931" w:type="dxa"/>
            <w:shd w:val="clear" w:color="auto" w:fill="auto"/>
            <w:vAlign w:val="center"/>
          </w:tcPr>
          <w:p w14:paraId="74CA312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统一年代号，仅保留标准编号，删除年份。</w:t>
            </w:r>
          </w:p>
        </w:tc>
        <w:tc>
          <w:tcPr>
            <w:tcW w:w="1988" w:type="dxa"/>
            <w:vMerge w:val="continue"/>
            <w:tcBorders/>
            <w:vAlign w:val="center"/>
          </w:tcPr>
          <w:p w14:paraId="3ABA04F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521" w:type="dxa"/>
            <w:shd w:val="clear" w:color="auto" w:fill="auto"/>
            <w:vAlign w:val="center"/>
          </w:tcPr>
          <w:p w14:paraId="6CE12AF9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采纳。按要求规范引用文件表述</w:t>
            </w:r>
          </w:p>
        </w:tc>
      </w:tr>
      <w:tr w14:paraId="6E0BB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534" w:type="dxa"/>
            <w:shd w:val="clear" w:color="auto" w:fill="auto"/>
            <w:vAlign w:val="center"/>
          </w:tcPr>
          <w:p w14:paraId="6EBA3381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46C0153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5.2.3.2 播种量</w:t>
            </w:r>
          </w:p>
        </w:tc>
        <w:tc>
          <w:tcPr>
            <w:tcW w:w="4931" w:type="dxa"/>
            <w:shd w:val="clear" w:color="auto" w:fill="auto"/>
            <w:vAlign w:val="center"/>
          </w:tcPr>
          <w:p w14:paraId="55A5A5F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建议删除 “播种量” 相关条款。</w:t>
            </w:r>
          </w:p>
        </w:tc>
        <w:tc>
          <w:tcPr>
            <w:tcW w:w="1988" w:type="dxa"/>
            <w:vMerge w:val="continue"/>
            <w:tcBorders/>
            <w:vAlign w:val="center"/>
          </w:tcPr>
          <w:p w14:paraId="10F0982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521" w:type="dxa"/>
            <w:shd w:val="clear" w:color="auto" w:fill="auto"/>
            <w:vAlign w:val="center"/>
          </w:tcPr>
          <w:p w14:paraId="11FA53B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  <w:t>采纳。</w:t>
            </w: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已在标准修订中删除播种量条款。</w:t>
            </w:r>
          </w:p>
        </w:tc>
      </w:tr>
      <w:tr w14:paraId="06C840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34" w:type="dxa"/>
            <w:shd w:val="clear" w:color="auto" w:fill="auto"/>
            <w:vAlign w:val="center"/>
          </w:tcPr>
          <w:p w14:paraId="5A80F131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511006E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3.3 水肥一体化技术</w:t>
            </w:r>
          </w:p>
        </w:tc>
        <w:tc>
          <w:tcPr>
            <w:tcW w:w="4931" w:type="dxa"/>
            <w:shd w:val="clear" w:color="auto" w:fill="auto"/>
            <w:vAlign w:val="center"/>
          </w:tcPr>
          <w:p w14:paraId="32224A4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建议删除该术语，与标题关联性不强。</w:t>
            </w:r>
          </w:p>
        </w:tc>
        <w:tc>
          <w:tcPr>
            <w:tcW w:w="1988" w:type="dxa"/>
            <w:vMerge w:val="continue"/>
            <w:tcBorders/>
            <w:vAlign w:val="center"/>
          </w:tcPr>
          <w:p w14:paraId="65CE00C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521" w:type="dxa"/>
            <w:shd w:val="clear" w:color="auto" w:fill="auto"/>
            <w:vAlign w:val="center"/>
          </w:tcPr>
          <w:p w14:paraId="7594D03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  <w:t>不采纳。</w:t>
            </w: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水肥一体化技术是滴灌种植核心技术，术语保留便于理解。</w:t>
            </w:r>
          </w:p>
        </w:tc>
      </w:tr>
      <w:tr w14:paraId="57793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34" w:type="dxa"/>
            <w:shd w:val="clear" w:color="auto" w:fill="auto"/>
            <w:vAlign w:val="center"/>
          </w:tcPr>
          <w:p w14:paraId="79CB5A64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65CC297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3.5 浅埋滴灌技术</w:t>
            </w:r>
          </w:p>
        </w:tc>
        <w:tc>
          <w:tcPr>
            <w:tcW w:w="4931" w:type="dxa"/>
            <w:shd w:val="clear" w:color="auto" w:fill="auto"/>
            <w:vAlign w:val="center"/>
          </w:tcPr>
          <w:p w14:paraId="1A5D857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精炼描述语言，简化末尾冗余表述。</w:t>
            </w:r>
          </w:p>
        </w:tc>
        <w:tc>
          <w:tcPr>
            <w:tcW w:w="1988" w:type="dxa"/>
            <w:vMerge w:val="continue"/>
            <w:tcBorders/>
            <w:vAlign w:val="center"/>
          </w:tcPr>
          <w:p w14:paraId="40CC069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521" w:type="dxa"/>
            <w:shd w:val="clear" w:color="auto" w:fill="auto"/>
            <w:vAlign w:val="center"/>
          </w:tcPr>
          <w:p w14:paraId="2577EF69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  <w:t>采纳。</w:t>
            </w: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优化浅埋滴灌技术定义表述，使其更简洁。</w:t>
            </w:r>
          </w:p>
        </w:tc>
      </w:tr>
      <w:tr w14:paraId="52418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34" w:type="dxa"/>
            <w:shd w:val="clear" w:color="auto" w:fill="auto"/>
            <w:vAlign w:val="center"/>
          </w:tcPr>
          <w:p w14:paraId="29BCC6C0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1588F61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4.1 土壤条件</w:t>
            </w:r>
          </w:p>
        </w:tc>
        <w:tc>
          <w:tcPr>
            <w:tcW w:w="4931" w:type="dxa"/>
            <w:shd w:val="clear" w:color="auto" w:fill="auto"/>
            <w:vAlign w:val="center"/>
          </w:tcPr>
          <w:p w14:paraId="4E0935EE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“除符合 GB 15618-2018 规定外” 改为 “应符合 GB 15618-2018 规定”，去掉 “质地良好”，调整土壤全盐含量为范围值，优化 pH 值。</w:t>
            </w:r>
          </w:p>
        </w:tc>
        <w:tc>
          <w:tcPr>
            <w:tcW w:w="1988" w:type="dxa"/>
            <w:vMerge w:val="continue"/>
            <w:tcBorders/>
            <w:vAlign w:val="center"/>
          </w:tcPr>
          <w:p w14:paraId="58B310FE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521" w:type="dxa"/>
            <w:shd w:val="clear" w:color="auto" w:fill="auto"/>
            <w:vAlign w:val="center"/>
          </w:tcPr>
          <w:p w14:paraId="20F4ACA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  <w:t>采纳。</w:t>
            </w: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按建议修改表述，删除冗余描述。</w:t>
            </w:r>
          </w:p>
        </w:tc>
      </w:tr>
      <w:tr w14:paraId="1043F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34" w:type="dxa"/>
            <w:shd w:val="clear" w:color="auto" w:fill="auto"/>
            <w:vAlign w:val="center"/>
          </w:tcPr>
          <w:p w14:paraId="7F57983D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1CEA531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4.2 水源与水质条件</w:t>
            </w:r>
          </w:p>
        </w:tc>
        <w:tc>
          <w:tcPr>
            <w:tcW w:w="4931" w:type="dxa"/>
            <w:shd w:val="clear" w:color="auto" w:fill="auto"/>
            <w:vAlign w:val="center"/>
          </w:tcPr>
          <w:p w14:paraId="1766FAE9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 xml:space="preserve"> “除符合 GB/T 5084-2021 与 GB/T50485-2020 规定外” 改为 “应符合 GB/T 5084-2021 与 GB/T50485-2020 规定”</w:t>
            </w:r>
          </w:p>
        </w:tc>
        <w:tc>
          <w:tcPr>
            <w:tcW w:w="1988" w:type="dxa"/>
            <w:vMerge w:val="continue"/>
            <w:tcBorders/>
            <w:vAlign w:val="center"/>
          </w:tcPr>
          <w:p w14:paraId="653E83B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521" w:type="dxa"/>
            <w:shd w:val="clear" w:color="auto" w:fill="auto"/>
            <w:vAlign w:val="center"/>
          </w:tcPr>
          <w:p w14:paraId="37B366F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  <w:t>采纳。</w:t>
            </w: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按建议修改表述。</w:t>
            </w:r>
          </w:p>
        </w:tc>
      </w:tr>
      <w:tr w14:paraId="53F85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34" w:type="dxa"/>
            <w:shd w:val="clear" w:color="auto" w:fill="auto"/>
            <w:vAlign w:val="center"/>
          </w:tcPr>
          <w:p w14:paraId="3980AEC4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6CC628A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5.1.2.1 基肥</w:t>
            </w:r>
          </w:p>
        </w:tc>
        <w:tc>
          <w:tcPr>
            <w:tcW w:w="4931" w:type="dxa"/>
            <w:shd w:val="clear" w:color="auto" w:fill="auto"/>
            <w:vAlign w:val="center"/>
          </w:tcPr>
          <w:p w14:paraId="2B56449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改为 “结合秋翻地或早春翻地施腐熟农家肥或有机肥，用量按肥力水平确定”，去掉 “基肥” 表述。</w:t>
            </w:r>
          </w:p>
        </w:tc>
        <w:tc>
          <w:tcPr>
            <w:tcW w:w="1988" w:type="dxa"/>
            <w:vMerge w:val="continue"/>
            <w:tcBorders/>
            <w:vAlign w:val="center"/>
          </w:tcPr>
          <w:p w14:paraId="31B5738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521" w:type="dxa"/>
            <w:shd w:val="clear" w:color="auto" w:fill="auto"/>
            <w:vAlign w:val="center"/>
          </w:tcPr>
          <w:p w14:paraId="7333EA0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  <w:t>采纳。</w:t>
            </w: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按建议修改表述。</w:t>
            </w:r>
          </w:p>
        </w:tc>
      </w:tr>
      <w:tr w14:paraId="49EA1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534" w:type="dxa"/>
            <w:shd w:val="clear" w:color="auto" w:fill="auto"/>
            <w:vAlign w:val="center"/>
          </w:tcPr>
          <w:p w14:paraId="08A7FA81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  <w:t>20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51EBA50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5.1.2.2 种肥</w:t>
            </w:r>
          </w:p>
        </w:tc>
        <w:tc>
          <w:tcPr>
            <w:tcW w:w="4931" w:type="dxa"/>
            <w:shd w:val="clear" w:color="auto" w:fill="auto"/>
            <w:vAlign w:val="center"/>
          </w:tcPr>
          <w:p w14:paraId="5759114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删除 “作为种肥” 表述。</w:t>
            </w:r>
          </w:p>
        </w:tc>
        <w:tc>
          <w:tcPr>
            <w:tcW w:w="1988" w:type="dxa"/>
            <w:vMerge w:val="continue"/>
            <w:tcBorders/>
            <w:vAlign w:val="center"/>
          </w:tcPr>
          <w:p w14:paraId="46FDEB99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521" w:type="dxa"/>
            <w:shd w:val="clear" w:color="auto" w:fill="auto"/>
            <w:vAlign w:val="center"/>
          </w:tcPr>
          <w:p w14:paraId="7191044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采纳。按建议精简表述。</w:t>
            </w:r>
          </w:p>
        </w:tc>
      </w:tr>
      <w:tr w14:paraId="769B3D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534" w:type="dxa"/>
            <w:vAlign w:val="center"/>
          </w:tcPr>
          <w:p w14:paraId="7ED9F80B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21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24B0B11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5.1.3.1 选地</w:t>
            </w:r>
          </w:p>
        </w:tc>
        <w:tc>
          <w:tcPr>
            <w:tcW w:w="4931" w:type="dxa"/>
            <w:shd w:val="clear" w:color="auto" w:fill="auto"/>
            <w:vAlign w:val="center"/>
          </w:tcPr>
          <w:p w14:paraId="33629F1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简化为 “土层深厚”。</w:t>
            </w:r>
          </w:p>
        </w:tc>
        <w:tc>
          <w:tcPr>
            <w:tcW w:w="1988" w:type="dxa"/>
            <w:vMerge w:val="continue"/>
            <w:tcBorders/>
            <w:vAlign w:val="center"/>
          </w:tcPr>
          <w:p w14:paraId="5944A21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521" w:type="dxa"/>
            <w:shd w:val="clear" w:color="auto" w:fill="auto"/>
            <w:vAlign w:val="center"/>
          </w:tcPr>
          <w:p w14:paraId="2127200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  <w:t>不采纳。</w:t>
            </w: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原表述符合规范要求</w:t>
            </w:r>
          </w:p>
        </w:tc>
      </w:tr>
      <w:tr w14:paraId="1F5AA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atLeast"/>
        </w:trPr>
        <w:tc>
          <w:tcPr>
            <w:tcW w:w="534" w:type="dxa"/>
            <w:vAlign w:val="center"/>
          </w:tcPr>
          <w:p w14:paraId="6CB76507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3A01659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5.1.3.2 秋翻灭茬</w:t>
            </w:r>
          </w:p>
        </w:tc>
        <w:tc>
          <w:tcPr>
            <w:tcW w:w="4931" w:type="dxa"/>
            <w:shd w:val="clear" w:color="auto" w:fill="auto"/>
            <w:vAlign w:val="center"/>
          </w:tcPr>
          <w:p w14:paraId="34ECB70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“北部引黄灌区” 去掉 “北部”，“中部扬黄灌区” 去掉 “中部”。</w:t>
            </w:r>
          </w:p>
        </w:tc>
        <w:tc>
          <w:tcPr>
            <w:tcW w:w="1988" w:type="dxa"/>
            <w:vMerge w:val="continue"/>
            <w:tcBorders/>
            <w:vAlign w:val="center"/>
          </w:tcPr>
          <w:p w14:paraId="16953B6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521" w:type="dxa"/>
            <w:shd w:val="clear" w:color="auto" w:fill="auto"/>
            <w:vAlign w:val="center"/>
          </w:tcPr>
          <w:p w14:paraId="2AD7E66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采纳。统一表述为 “引黄自流灌区”。</w:t>
            </w:r>
          </w:p>
        </w:tc>
      </w:tr>
      <w:tr w14:paraId="51A326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34" w:type="dxa"/>
            <w:vAlign w:val="center"/>
          </w:tcPr>
          <w:p w14:paraId="48BEC939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23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3638C3B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5.2.2.1 机械要求</w:t>
            </w:r>
          </w:p>
        </w:tc>
        <w:tc>
          <w:tcPr>
            <w:tcW w:w="4931" w:type="dxa"/>
            <w:shd w:val="clear" w:color="auto" w:fill="auto"/>
            <w:vAlign w:val="center"/>
          </w:tcPr>
          <w:p w14:paraId="38AEBEC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“玉米机械化播种除符合 DB64/T 657-2010 的有关规定” 改为 “玉米机械化播种应符合 DB64/T 657-2010 的有关规定”。</w:t>
            </w:r>
          </w:p>
        </w:tc>
        <w:tc>
          <w:tcPr>
            <w:tcW w:w="1988" w:type="dxa"/>
            <w:vMerge w:val="restart"/>
            <w:vAlign w:val="center"/>
          </w:tcPr>
          <w:p w14:paraId="42503B1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自治区农业技术推广总站</w:t>
            </w:r>
          </w:p>
          <w:p w14:paraId="58FF156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魏固宁</w:t>
            </w:r>
          </w:p>
        </w:tc>
        <w:tc>
          <w:tcPr>
            <w:tcW w:w="3521" w:type="dxa"/>
            <w:shd w:val="clear" w:color="auto" w:fill="auto"/>
            <w:vAlign w:val="center"/>
          </w:tcPr>
          <w:p w14:paraId="244F8F7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  <w:t>采纳。</w:t>
            </w: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按建议修改规范性表述。</w:t>
            </w:r>
          </w:p>
        </w:tc>
      </w:tr>
      <w:tr w14:paraId="6040C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34" w:type="dxa"/>
            <w:vAlign w:val="center"/>
          </w:tcPr>
          <w:p w14:paraId="4AA9AF09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5184226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5.2.3 种植方式</w:t>
            </w:r>
          </w:p>
        </w:tc>
        <w:tc>
          <w:tcPr>
            <w:tcW w:w="4931" w:type="dxa"/>
            <w:shd w:val="clear" w:color="auto" w:fill="auto"/>
            <w:vAlign w:val="center"/>
          </w:tcPr>
          <w:p w14:paraId="75C7B89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用表格明确三种滴灌方式的种植密度、行距（宽行、窄行）。</w:t>
            </w:r>
          </w:p>
        </w:tc>
        <w:tc>
          <w:tcPr>
            <w:tcW w:w="1988" w:type="dxa"/>
            <w:vMerge w:val="continue"/>
            <w:tcBorders/>
            <w:vAlign w:val="center"/>
          </w:tcPr>
          <w:p w14:paraId="5CC8D1E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521" w:type="dxa"/>
            <w:shd w:val="clear" w:color="auto" w:fill="auto"/>
            <w:vAlign w:val="center"/>
          </w:tcPr>
          <w:p w14:paraId="7DB1565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  <w:t>不采纳。</w:t>
            </w: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因已删除膜下滴灌模式，仅对露地、浅埋滴灌用表格明确参数，文字也可以表述清楚。</w:t>
            </w:r>
          </w:p>
        </w:tc>
      </w:tr>
      <w:tr w14:paraId="0A18C8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34" w:type="dxa"/>
            <w:vAlign w:val="center"/>
          </w:tcPr>
          <w:p w14:paraId="1C4E7B38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25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702398A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 xml:space="preserve"> 5.5.1 收获期</w:t>
            </w:r>
          </w:p>
        </w:tc>
        <w:tc>
          <w:tcPr>
            <w:tcW w:w="4931" w:type="dxa"/>
            <w:shd w:val="clear" w:color="auto" w:fill="auto"/>
            <w:vAlign w:val="center"/>
          </w:tcPr>
          <w:p w14:paraId="01DC871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改为 “应在 9 月下旬至 10 月上旬进行收获”。</w:t>
            </w:r>
          </w:p>
        </w:tc>
        <w:tc>
          <w:tcPr>
            <w:tcW w:w="1988" w:type="dxa"/>
            <w:vMerge w:val="continue"/>
            <w:tcBorders/>
            <w:vAlign w:val="center"/>
          </w:tcPr>
          <w:p w14:paraId="0ECC16A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521" w:type="dxa"/>
            <w:shd w:val="clear" w:color="auto" w:fill="auto"/>
            <w:vAlign w:val="center"/>
          </w:tcPr>
          <w:p w14:paraId="072964B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  <w:t>采纳。</w:t>
            </w: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按建议规范收获期表述。</w:t>
            </w:r>
          </w:p>
        </w:tc>
      </w:tr>
      <w:tr w14:paraId="4528D6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34" w:type="dxa"/>
            <w:vAlign w:val="center"/>
          </w:tcPr>
          <w:p w14:paraId="2FACE185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26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6D57EEE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 xml:space="preserve"> 8.2.1.1 施肥设备运行要求</w:t>
            </w:r>
          </w:p>
        </w:tc>
        <w:tc>
          <w:tcPr>
            <w:tcW w:w="4931" w:type="dxa"/>
            <w:shd w:val="clear" w:color="auto" w:fill="auto"/>
            <w:vAlign w:val="center"/>
          </w:tcPr>
          <w:p w14:paraId="730AC1A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去掉 “准确计算出每个轮灌组施肥量”。</w:t>
            </w:r>
          </w:p>
        </w:tc>
        <w:tc>
          <w:tcPr>
            <w:tcW w:w="1988" w:type="dxa"/>
            <w:vMerge w:val="continue"/>
            <w:tcBorders/>
            <w:vAlign w:val="center"/>
          </w:tcPr>
          <w:p w14:paraId="6099523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521" w:type="dxa"/>
            <w:shd w:val="clear" w:color="auto" w:fill="auto"/>
            <w:vAlign w:val="center"/>
          </w:tcPr>
          <w:p w14:paraId="0E44F56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  <w:t>采纳。</w:t>
            </w: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按建议精简运行要求表述。</w:t>
            </w:r>
          </w:p>
        </w:tc>
      </w:tr>
      <w:tr w14:paraId="7B600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</w:trPr>
        <w:tc>
          <w:tcPr>
            <w:tcW w:w="534" w:type="dxa"/>
            <w:vAlign w:val="center"/>
          </w:tcPr>
          <w:p w14:paraId="47C39FF6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27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2488577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全文</w:t>
            </w:r>
          </w:p>
        </w:tc>
        <w:tc>
          <w:tcPr>
            <w:tcW w:w="4931" w:type="dxa"/>
            <w:shd w:val="clear" w:color="auto" w:fill="auto"/>
            <w:vAlign w:val="center"/>
          </w:tcPr>
          <w:p w14:paraId="5F81706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增加目录。</w:t>
            </w:r>
          </w:p>
        </w:tc>
        <w:tc>
          <w:tcPr>
            <w:tcW w:w="1988" w:type="dxa"/>
            <w:vMerge w:val="continue"/>
            <w:tcBorders/>
            <w:vAlign w:val="center"/>
          </w:tcPr>
          <w:p w14:paraId="17361E7E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521" w:type="dxa"/>
            <w:shd w:val="clear" w:color="auto" w:fill="auto"/>
            <w:vAlign w:val="center"/>
          </w:tcPr>
          <w:p w14:paraId="03647F8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  <w:t>不采纳。</w:t>
            </w: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规程内容较少，没必要增加目录。</w:t>
            </w:r>
          </w:p>
        </w:tc>
      </w:tr>
      <w:tr w14:paraId="0CEFA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34" w:type="dxa"/>
            <w:vAlign w:val="center"/>
          </w:tcPr>
          <w:p w14:paraId="70173C2C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28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4D96A0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 规范性引用文件</w:t>
            </w:r>
          </w:p>
        </w:tc>
        <w:tc>
          <w:tcPr>
            <w:tcW w:w="4931" w:type="dxa"/>
            <w:shd w:val="clear" w:color="auto" w:fill="auto"/>
            <w:vAlign w:val="center"/>
          </w:tcPr>
          <w:p w14:paraId="6305A16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调整标准顺序（从小到大），补充正文中引用但未列出的标准。</w:t>
            </w:r>
          </w:p>
        </w:tc>
        <w:tc>
          <w:tcPr>
            <w:tcW w:w="1988" w:type="dxa"/>
            <w:vMerge w:val="continue"/>
            <w:tcBorders/>
            <w:vAlign w:val="center"/>
          </w:tcPr>
          <w:p w14:paraId="454E399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521" w:type="dxa"/>
            <w:shd w:val="clear" w:color="auto" w:fill="auto"/>
            <w:vAlign w:val="center"/>
          </w:tcPr>
          <w:p w14:paraId="27B5037E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  <w:t>采纳。</w:t>
            </w: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按顺序梳理引用文件，补充遗漏标准。</w:t>
            </w:r>
          </w:p>
        </w:tc>
      </w:tr>
      <w:tr w14:paraId="213BC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534" w:type="dxa"/>
            <w:vAlign w:val="center"/>
          </w:tcPr>
          <w:p w14:paraId="06EB0C74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29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75FA79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表 1 灌溉定额</w:t>
            </w:r>
          </w:p>
        </w:tc>
        <w:tc>
          <w:tcPr>
            <w:tcW w:w="4931" w:type="dxa"/>
            <w:shd w:val="clear" w:color="auto" w:fill="auto"/>
            <w:vAlign w:val="center"/>
          </w:tcPr>
          <w:p w14:paraId="3C47414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播种期灌溉定额调整为18</w:t>
            </w:r>
            <w:bookmarkStart w:id="0" w:name="_GoBack"/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-</w:t>
            </w:r>
            <w:bookmarkEnd w:id="0"/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20m³/667m²。</w:t>
            </w:r>
          </w:p>
        </w:tc>
        <w:tc>
          <w:tcPr>
            <w:tcW w:w="1988" w:type="dxa"/>
            <w:vMerge w:val="continue"/>
            <w:tcBorders/>
            <w:vAlign w:val="center"/>
          </w:tcPr>
          <w:p w14:paraId="66CED21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521" w:type="dxa"/>
            <w:shd w:val="clear" w:color="auto" w:fill="auto"/>
            <w:vAlign w:val="center"/>
          </w:tcPr>
          <w:p w14:paraId="3500D32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  <w:t>不采纳。</w:t>
            </w:r>
          </w:p>
        </w:tc>
      </w:tr>
    </w:tbl>
    <w:p w14:paraId="6F9563B0">
      <w:pPr>
        <w:rPr>
          <w:rFonts w:ascii="仿宋" w:hAnsi="仿宋" w:eastAsia="仿宋"/>
          <w:color w:val="FF0000"/>
          <w:sz w:val="11"/>
          <w:szCs w:val="24"/>
        </w:rPr>
      </w:pPr>
    </w:p>
    <w:p w14:paraId="25742C70">
      <w:pPr>
        <w:spacing w:line="600" w:lineRule="exact"/>
        <w:jc w:val="center"/>
        <w:outlineLvl w:val="0"/>
        <w:rPr>
          <w:rFonts w:hint="eastAsia" w:ascii="方正小标宋_GBK" w:hAnsi="黑体" w:eastAsia="方正小标宋_GBK"/>
          <w:sz w:val="44"/>
          <w:szCs w:val="44"/>
        </w:rPr>
      </w:pPr>
    </w:p>
    <w:p w14:paraId="579E7C7D">
      <w:pPr>
        <w:rPr>
          <w:rFonts w:ascii="仿宋" w:hAnsi="仿宋" w:eastAsia="仿宋"/>
          <w:sz w:val="11"/>
          <w:szCs w:val="24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7CD5757-D097-4C90-B517-50FD813C579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decorative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66090FAB-23F1-4FD4-87E6-F1D7DA76DF78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81A38A86-6AB2-4FE2-9F97-45CFD00B430B}"/>
  </w:font>
  <w:font w:name="WPSEMBED1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C91163"/>
    <w:multiLevelType w:val="multilevel"/>
    <w:tmpl w:val="1FC91163"/>
    <w:lvl w:ilvl="0" w:tentative="0">
      <w:start w:val="1"/>
      <w:numFmt w:val="decimal"/>
      <w:pStyle w:val="11"/>
      <w:suff w:val="nothing"/>
      <w:lvlText w:val="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pStyle w:val="9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pStyle w:val="8"/>
      <w:suff w:val="nothing"/>
      <w:lvlText w:val="%1.%2.%3　"/>
      <w:lvlJc w:val="left"/>
      <w:pPr>
        <w:ind w:left="426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16"/>
      <w:suff w:val="nothing"/>
      <w:lvlText w:val="%1.%2.%3.%4　"/>
      <w:lvlJc w:val="left"/>
      <w:pPr>
        <w:ind w:left="-105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-945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-945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-945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3406"/>
        </w:tabs>
        <w:ind w:left="302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3832"/>
        </w:tabs>
        <w:ind w:left="3732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lNTJiMzViMzBiNTA2ZDZhNDRiMTNhNTk4MTJiMTMifQ=="/>
  </w:docVars>
  <w:rsids>
    <w:rsidRoot w:val="006B797F"/>
    <w:rsid w:val="00105599"/>
    <w:rsid w:val="00107850"/>
    <w:rsid w:val="001813F6"/>
    <w:rsid w:val="00340B2D"/>
    <w:rsid w:val="005E29A5"/>
    <w:rsid w:val="006B797F"/>
    <w:rsid w:val="007F7662"/>
    <w:rsid w:val="00B47C9E"/>
    <w:rsid w:val="00E96976"/>
    <w:rsid w:val="00EC0F86"/>
    <w:rsid w:val="00F16B9E"/>
    <w:rsid w:val="00F57302"/>
    <w:rsid w:val="044F0706"/>
    <w:rsid w:val="06881779"/>
    <w:rsid w:val="0CF87823"/>
    <w:rsid w:val="12217B86"/>
    <w:rsid w:val="16E11692"/>
    <w:rsid w:val="17E720F5"/>
    <w:rsid w:val="1BD417C5"/>
    <w:rsid w:val="1D646B79"/>
    <w:rsid w:val="26534109"/>
    <w:rsid w:val="2A7C2231"/>
    <w:rsid w:val="2B0F45C8"/>
    <w:rsid w:val="2C4C7C0B"/>
    <w:rsid w:val="2E927E8C"/>
    <w:rsid w:val="2EC13D9B"/>
    <w:rsid w:val="33582884"/>
    <w:rsid w:val="348A3B36"/>
    <w:rsid w:val="34E97C37"/>
    <w:rsid w:val="361F1A79"/>
    <w:rsid w:val="369B7657"/>
    <w:rsid w:val="46310E4C"/>
    <w:rsid w:val="47637D1D"/>
    <w:rsid w:val="48050F20"/>
    <w:rsid w:val="4A4C462B"/>
    <w:rsid w:val="4AEC1DD8"/>
    <w:rsid w:val="4CA15A65"/>
    <w:rsid w:val="4E8038E7"/>
    <w:rsid w:val="4EC817C9"/>
    <w:rsid w:val="4F3E33DA"/>
    <w:rsid w:val="5576612B"/>
    <w:rsid w:val="57325016"/>
    <w:rsid w:val="5791681C"/>
    <w:rsid w:val="63766453"/>
    <w:rsid w:val="68A65A42"/>
    <w:rsid w:val="6E4F24D0"/>
    <w:rsid w:val="6EC151A6"/>
    <w:rsid w:val="72802C82"/>
    <w:rsid w:val="730879F6"/>
    <w:rsid w:val="741B5502"/>
    <w:rsid w:val="796A57A3"/>
    <w:rsid w:val="7BF06643"/>
    <w:rsid w:val="7BF77613"/>
    <w:rsid w:val="7E4E02A8"/>
    <w:rsid w:val="7F8515DD"/>
    <w:rsid w:val="7F9E5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widowControl w:val="0"/>
      <w:spacing w:line="440" w:lineRule="exact"/>
      <w:ind w:firstLine="480" w:firstLineChars="20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styleId="5">
    <w:name w:val="Strong"/>
    <w:basedOn w:val="4"/>
    <w:qFormat/>
    <w:uiPriority w:val="0"/>
    <w:rPr>
      <w:b/>
    </w:rPr>
  </w:style>
  <w:style w:type="paragraph" w:customStyle="1" w:styleId="6">
    <w:name w:val="段"/>
    <w:link w:val="10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  <w:style w:type="paragraph" w:customStyle="1" w:styleId="8">
    <w:name w:val="二级条标题"/>
    <w:basedOn w:val="9"/>
    <w:next w:val="6"/>
    <w:qFormat/>
    <w:uiPriority w:val="0"/>
    <w:pPr>
      <w:widowControl/>
      <w:numPr>
        <w:ilvl w:val="2"/>
        <w:numId w:val="1"/>
      </w:numPr>
      <w:spacing w:before="50" w:beforeLines="50" w:after="50" w:afterLines="50"/>
      <w:jc w:val="left"/>
      <w:outlineLvl w:val="3"/>
    </w:pPr>
    <w:rPr>
      <w:rFonts w:ascii="黑体" w:hAnsi="Calibri" w:eastAsia="黑体"/>
      <w:kern w:val="0"/>
      <w:sz w:val="21"/>
      <w:szCs w:val="21"/>
    </w:rPr>
  </w:style>
  <w:style w:type="paragraph" w:customStyle="1" w:styleId="9">
    <w:name w:val="一级条标题"/>
    <w:next w:val="6"/>
    <w:qFormat/>
    <w:uiPriority w:val="0"/>
    <w:pPr>
      <w:numPr>
        <w:ilvl w:val="1"/>
        <w:numId w:val="1"/>
      </w:numPr>
      <w:spacing w:before="156" w:beforeLines="50" w:after="156" w:afterLines="50"/>
      <w:outlineLvl w:val="2"/>
    </w:pPr>
    <w:rPr>
      <w:rFonts w:ascii="黑体" w:hAnsi="Calibri" w:eastAsia="黑体" w:cs="Times New Roman"/>
      <w:sz w:val="21"/>
      <w:szCs w:val="21"/>
      <w:lang w:val="en-US" w:eastAsia="zh-CN" w:bidi="ar-SA"/>
    </w:rPr>
  </w:style>
  <w:style w:type="character" w:customStyle="1" w:styleId="10">
    <w:name w:val="段 Char"/>
    <w:link w:val="6"/>
    <w:qFormat/>
    <w:uiPriority w:val="0"/>
    <w:rPr>
      <w:rFonts w:ascii="宋体"/>
      <w:sz w:val="21"/>
    </w:rPr>
  </w:style>
  <w:style w:type="paragraph" w:customStyle="1" w:styleId="11">
    <w:name w:val="章标题"/>
    <w:next w:val="6"/>
    <w:qFormat/>
    <w:uiPriority w:val="0"/>
    <w:pPr>
      <w:numPr>
        <w:ilvl w:val="0"/>
        <w:numId w:val="1"/>
      </w:numPr>
      <w:spacing w:before="312" w:beforeLines="100" w:after="312" w:afterLines="100"/>
      <w:jc w:val="both"/>
      <w:outlineLvl w:val="1"/>
    </w:pPr>
    <w:rPr>
      <w:rFonts w:ascii="黑体" w:hAnsi="Calibri" w:eastAsia="黑体" w:cs="Times New Roman"/>
      <w:sz w:val="21"/>
      <w:lang w:val="en-US" w:eastAsia="zh-CN" w:bidi="ar-SA"/>
    </w:rPr>
  </w:style>
  <w:style w:type="paragraph" w:customStyle="1" w:styleId="12">
    <w:name w:val="二级无"/>
    <w:basedOn w:val="8"/>
    <w:qFormat/>
    <w:uiPriority w:val="0"/>
    <w:pPr>
      <w:spacing w:before="0" w:beforeLines="0" w:after="0" w:afterLines="0"/>
    </w:pPr>
    <w:rPr>
      <w:rFonts w:ascii="宋体" w:eastAsia="宋体"/>
    </w:rPr>
  </w:style>
  <w:style w:type="paragraph" w:customStyle="1" w:styleId="13">
    <w:name w:val="前言、引言标题"/>
    <w:next w:val="6"/>
    <w:qFormat/>
    <w:uiPriority w:val="0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14">
    <w:name w:val="一级无"/>
    <w:basedOn w:val="9"/>
    <w:qFormat/>
    <w:uiPriority w:val="0"/>
    <w:pPr>
      <w:spacing w:beforeLines="0" w:afterLines="0"/>
    </w:pPr>
    <w:rPr>
      <w:rFonts w:ascii="宋体" w:eastAsia="宋体"/>
    </w:rPr>
  </w:style>
  <w:style w:type="paragraph" w:customStyle="1" w:styleId="15">
    <w:name w:val="三级无"/>
    <w:basedOn w:val="16"/>
    <w:qFormat/>
    <w:uiPriority w:val="0"/>
    <w:pPr>
      <w:spacing w:beforeLines="0" w:afterLines="0"/>
    </w:pPr>
    <w:rPr>
      <w:rFonts w:ascii="宋体" w:eastAsia="宋体"/>
    </w:rPr>
  </w:style>
  <w:style w:type="paragraph" w:customStyle="1" w:styleId="16">
    <w:name w:val="三级条标题"/>
    <w:basedOn w:val="8"/>
    <w:next w:val="6"/>
    <w:qFormat/>
    <w:uiPriority w:val="0"/>
    <w:pPr>
      <w:numPr>
        <w:ilvl w:val="3"/>
      </w:numPr>
      <w:outlineLvl w:val="4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297d1223-c8b2-4f1e-9e83-f1f9b407f789</errorID>
      <errorWord>~</errorWord>
      <group>L1_Format</group>
      <groupName>格式问题</groupName>
      <ability>L2_HalfPunc</ability>
      <abilityName>全半角检查</abilityName>
      <candidateList>
        <item>～</item>
      </candidateList>
      <explain>文本全半角错误。</explain>
      <paraID>48B46438</paraID>
      <start>30</start>
      <end>31</end>
      <status>ignored</status>
      <modifiedWord/>
      <trackRevisions>false</trackRevisions>
    </reviewItem>
    <reviewItem>
      <errorID>886bbc80-d2e2-4a46-b969-f0da33bb8f14</errorID>
      <errorWord>~</errorWord>
      <group>L1_Format</group>
      <groupName>格式问题</groupName>
      <ability>L2_HalfPunc</ability>
      <abilityName>全半角检查</abilityName>
      <candidateList>
        <item>～</item>
      </candidateList>
      <explain>文本全半角错误。</explain>
      <paraID>48B46438</paraID>
      <start>42</start>
      <end>43</end>
      <status>ignored</status>
      <modifiedWord/>
      <trackRevisions>false</trackRevisions>
    </reviewItem>
    <reviewItem>
      <errorID>7a42e7ef-c46d-4bc6-9fbf-dfcca24c558f</errorID>
      <errorWord>~</errorWord>
      <group>L1_Format</group>
      <groupName>格式问题</groupName>
      <ability>L2_HalfPunc</ability>
      <abilityName>全半角检查</abilityName>
      <candidateList>
        <item>～</item>
      </candidateList>
      <explain>文本全半角错误。</explain>
      <paraID>2DC9457D</paraID>
      <start>52</start>
      <end>53</end>
      <status>ignored</status>
      <modifiedWord/>
      <trackRevisions>false</trackRevisions>
    </reviewItem>
    <reviewItem>
      <errorID>bc34a1f6-931a-46e9-9b1c-f637175b97db</errorID>
      <errorWord>~</errorWord>
      <group>L1_Format</group>
      <groupName>格式问题</groupName>
      <ability>L2_HalfPunc</ability>
      <abilityName>全半角检查</abilityName>
      <candidateList>
        <item>～</item>
      </candidateList>
      <explain>文本全半角错误。</explain>
      <paraID>2DC9457D</paraID>
      <start>61</start>
      <end>62</end>
      <status>ignored</status>
      <modifiedWord/>
      <trackRevisions>false</trackRevisions>
    </reviewItem>
    <reviewItem>
      <errorID>ae9c9293-9f49-458a-9f85-1da161068037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3C474145</paraID>
      <start>12</start>
      <end>13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3803111f-5ba1-469a-abdc-f7a0f51f8c9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149</Words>
  <Characters>183</Characters>
  <Lines>59</Lines>
  <Paragraphs>16</Paragraphs>
  <TotalTime>4</TotalTime>
  <ScaleCrop>false</ScaleCrop>
  <LinksUpToDate>false</LinksUpToDate>
  <CharactersWithSpaces>261</CharactersWithSpaces>
  <Application>WPS Office_12.1.0.24655_F1E327BC-269C-435d-A152-05C5408002CA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2022-04-18T03:22:00Z</dcterms:created>
  <dc:creator>user</dc:creator>
  <cp:lastModifiedBy>lenovo</cp:lastModifiedBy>
  <cp:lastPrinted>2026-01-13T06:21:00Z</cp:lastPrinted>
  <dcterms:modified xsi:type="dcterms:W3CDTF">2026-01-18T20:16:15Z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2052-12.1.0.24655</vt:lpwstr>
  </property>
  <property fmtid="{D5CDD505-2E9C-101B-9397-08002B2CF9AE}" pid="3" name="ICV">
    <vt:lpwstr>3A786EC0366E4A3088E445CFE18E9BAF_13</vt:lpwstr>
  </property>
  <property fmtid="{D5CDD505-2E9C-101B-9397-08002B2CF9AE}" pid="4" name="KSOTemplateDocerSaveRecord">
    <vt:lpwstr>eyJoZGlkIjoiOTM1MTc3Y2NhNDJiYTE2MjQ5NTAyZDYyNGZjOWNlOGEiLCJ1c2VySWQiOiI0OTIxMTcwNzQifQ==</vt:lpwstr>
  </property>
</Properties>
</file>